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48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208"/>
      </w:tblGrid>
      <w:tr w:rsidR="00D34EAF" w:rsidRPr="00662147" w:rsidTr="00662147">
        <w:trPr>
          <w:trHeight w:val="191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1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EAF" w:rsidRPr="00662147" w:rsidRDefault="00D34EAF" w:rsidP="00D34EAF">
            <w:pPr>
              <w:rPr>
                <w:rFonts w:ascii="Arial" w:hAnsi="Arial" w:cs="Arial"/>
                <w:sz w:val="24"/>
                <w:szCs w:val="24"/>
              </w:rPr>
            </w:pPr>
            <w:r w:rsidRPr="00662147">
              <w:rPr>
                <w:rFonts w:ascii="Arial" w:hAnsi="Arial" w:cs="Arial"/>
                <w:sz w:val="24"/>
                <w:szCs w:val="24"/>
              </w:rPr>
              <w:t>Sběrné místo - dvůr fary</w:t>
            </w:r>
          </w:p>
        </w:tc>
      </w:tr>
      <w:tr w:rsidR="00D34EAF" w:rsidRPr="00662147" w:rsidTr="00662147">
        <w:trPr>
          <w:trHeight w:val="384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EAF" w:rsidRPr="00662147" w:rsidRDefault="00D34EAF" w:rsidP="00D34EAF">
            <w:pPr>
              <w:rPr>
                <w:rFonts w:ascii="Arial" w:hAnsi="Arial" w:cs="Arial"/>
              </w:rPr>
            </w:pPr>
            <w:r w:rsidRPr="00662147">
              <w:rPr>
                <w:rFonts w:ascii="Arial" w:hAnsi="Arial" w:cs="Arial"/>
              </w:rPr>
              <w:t>sobota /</w:t>
            </w:r>
          </w:p>
          <w:p w:rsidR="00D34EAF" w:rsidRPr="00662147" w:rsidRDefault="00D34EAF" w:rsidP="00D34EAF">
            <w:pPr>
              <w:rPr>
                <w:rFonts w:ascii="Arial" w:hAnsi="Arial" w:cs="Arial"/>
                <w:b/>
              </w:rPr>
            </w:pPr>
            <w:r w:rsidRPr="00662147">
              <w:rPr>
                <w:rFonts w:ascii="Arial" w:hAnsi="Arial" w:cs="Arial"/>
                <w:b/>
              </w:rPr>
              <w:t>sudý týden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EAF" w:rsidRPr="00662147" w:rsidRDefault="00D34EAF" w:rsidP="00D34EAF">
            <w:pPr>
              <w:rPr>
                <w:rFonts w:ascii="Arial" w:hAnsi="Arial" w:cs="Arial"/>
              </w:rPr>
            </w:pPr>
            <w:r w:rsidRPr="00662147">
              <w:rPr>
                <w:rFonts w:ascii="Arial" w:hAnsi="Arial" w:cs="Arial"/>
              </w:rPr>
              <w:t>9:00 – 11.00 hod.</w:t>
            </w:r>
          </w:p>
        </w:tc>
      </w:tr>
      <w:tr w:rsidR="00D34EAF" w:rsidRPr="00662147" w:rsidTr="00662147">
        <w:trPr>
          <w:trHeight w:val="1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EAF" w:rsidRPr="00662147" w:rsidRDefault="00D34EAF" w:rsidP="00D34EAF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4EAF" w:rsidRPr="00662147" w:rsidRDefault="00D34EAF" w:rsidP="00D34EAF">
            <w:pPr>
              <w:rPr>
                <w:rFonts w:ascii="Arial" w:hAnsi="Arial" w:cs="Arial"/>
              </w:rPr>
            </w:pPr>
          </w:p>
        </w:tc>
      </w:tr>
    </w:tbl>
    <w:p w:rsidR="00D34EAF" w:rsidRPr="00662147" w:rsidRDefault="00D34EAF" w:rsidP="00D34EAF">
      <w:pPr>
        <w:rPr>
          <w:rFonts w:ascii="Arial" w:hAnsi="Arial" w:cs="Arial"/>
        </w:rPr>
      </w:pPr>
      <w:r w:rsidRPr="00662147">
        <w:rPr>
          <w:rFonts w:ascii="Arial" w:hAnsi="Arial" w:cs="Arial"/>
        </w:rPr>
        <w:t> </w:t>
      </w:r>
    </w:p>
    <w:p w:rsidR="00D34EAF" w:rsidRPr="00662147" w:rsidRDefault="00D34EAF" w:rsidP="00662147">
      <w:pPr>
        <w:jc w:val="both"/>
        <w:rPr>
          <w:rFonts w:ascii="Arial" w:hAnsi="Arial" w:cs="Arial"/>
        </w:rPr>
      </w:pPr>
      <w:r w:rsidRPr="00662147">
        <w:rPr>
          <w:rFonts w:ascii="Arial" w:hAnsi="Arial" w:cs="Arial"/>
          <w:b/>
        </w:rPr>
        <w:t xml:space="preserve">Obec nemá zpoplatněný </w:t>
      </w:r>
      <w:r w:rsidRPr="00662147">
        <w:rPr>
          <w:rFonts w:ascii="Arial" w:hAnsi="Arial" w:cs="Arial"/>
          <w:b/>
          <w:u w:val="single"/>
        </w:rPr>
        <w:t>sběrný dvůr.</w:t>
      </w:r>
      <w:r w:rsidRPr="00662147">
        <w:rPr>
          <w:rFonts w:ascii="Arial" w:hAnsi="Arial" w:cs="Arial"/>
        </w:rPr>
        <w:t xml:space="preserve"> </w:t>
      </w:r>
    </w:p>
    <w:p w:rsidR="00F333BE" w:rsidRDefault="00D34EAF" w:rsidP="00662147">
      <w:pPr>
        <w:jc w:val="both"/>
        <w:rPr>
          <w:rFonts w:ascii="Arial" w:hAnsi="Arial" w:cs="Arial"/>
        </w:rPr>
      </w:pPr>
      <w:r w:rsidRPr="00662147">
        <w:rPr>
          <w:rFonts w:ascii="Arial" w:hAnsi="Arial" w:cs="Arial"/>
        </w:rPr>
        <w:t xml:space="preserve">Pro zajištění možnosti odkládání malého množství sutě, dřeva, větších rozměrů směsného odpadu, nebezpečného odpadu, toxických látek, jedlých olejů a tuků </w:t>
      </w:r>
      <w:r w:rsidRPr="00662147">
        <w:rPr>
          <w:rFonts w:ascii="Arial" w:hAnsi="Arial" w:cs="Arial"/>
          <w:b/>
        </w:rPr>
        <w:t>obec zřídila</w:t>
      </w:r>
      <w:r w:rsidR="00F333BE">
        <w:rPr>
          <w:rFonts w:ascii="Arial" w:hAnsi="Arial" w:cs="Arial"/>
          <w:b/>
        </w:rPr>
        <w:t xml:space="preserve"> „pouze“</w:t>
      </w:r>
      <w:r w:rsidRPr="00662147">
        <w:rPr>
          <w:rFonts w:ascii="Arial" w:hAnsi="Arial" w:cs="Arial"/>
          <w:b/>
        </w:rPr>
        <w:t xml:space="preserve"> </w:t>
      </w:r>
      <w:r w:rsidRPr="00662147">
        <w:rPr>
          <w:rFonts w:ascii="Arial" w:hAnsi="Arial" w:cs="Arial"/>
          <w:b/>
          <w:u w:val="single"/>
        </w:rPr>
        <w:t>sběrné místo</w:t>
      </w:r>
      <w:r w:rsidRPr="00662147">
        <w:rPr>
          <w:rFonts w:ascii="Arial" w:hAnsi="Arial" w:cs="Arial"/>
          <w:u w:val="single"/>
        </w:rPr>
        <w:t>.</w:t>
      </w:r>
      <w:r w:rsidRPr="00662147">
        <w:rPr>
          <w:rFonts w:ascii="Arial" w:hAnsi="Arial" w:cs="Arial"/>
        </w:rPr>
        <w:t xml:space="preserve"> </w:t>
      </w:r>
    </w:p>
    <w:p w:rsidR="00F333BE" w:rsidRDefault="00F333BE" w:rsidP="006621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Sběrné místo funguje v jiném režimu než sběrný dvůr.</w:t>
      </w:r>
    </w:p>
    <w:p w:rsidR="00D34EAF" w:rsidRPr="00662147" w:rsidRDefault="00D34EAF" w:rsidP="00662147">
      <w:pPr>
        <w:jc w:val="both"/>
        <w:rPr>
          <w:rFonts w:ascii="Arial" w:hAnsi="Arial" w:cs="Arial"/>
        </w:rPr>
      </w:pPr>
      <w:r w:rsidRPr="00662147">
        <w:rPr>
          <w:rFonts w:ascii="Arial" w:hAnsi="Arial" w:cs="Arial"/>
        </w:rPr>
        <w:t xml:space="preserve">Občané s trvalým pobytem v obci zde mohou odkládat odpad </w:t>
      </w:r>
      <w:r w:rsidRPr="00662147">
        <w:rPr>
          <w:rFonts w:ascii="Arial" w:hAnsi="Arial" w:cs="Arial"/>
          <w:b/>
        </w:rPr>
        <w:t>bezplatně.</w:t>
      </w:r>
      <w:r w:rsidRPr="00662147">
        <w:rPr>
          <w:rFonts w:ascii="Arial" w:hAnsi="Arial" w:cs="Arial"/>
        </w:rPr>
        <w:t xml:space="preserve"> </w:t>
      </w:r>
    </w:p>
    <w:p w:rsidR="00D34EAF" w:rsidRPr="00F333BE" w:rsidRDefault="00D34EAF" w:rsidP="00662147">
      <w:pPr>
        <w:jc w:val="both"/>
        <w:rPr>
          <w:rFonts w:ascii="Arial" w:hAnsi="Arial" w:cs="Arial"/>
          <w:b/>
        </w:rPr>
      </w:pPr>
      <w:r w:rsidRPr="00662147">
        <w:rPr>
          <w:rFonts w:ascii="Arial" w:hAnsi="Arial" w:cs="Arial"/>
        </w:rPr>
        <w:t xml:space="preserve">Sběrné místo </w:t>
      </w:r>
      <w:r w:rsidR="00662147" w:rsidRPr="00662147">
        <w:rPr>
          <w:rFonts w:ascii="Arial" w:hAnsi="Arial" w:cs="Arial"/>
        </w:rPr>
        <w:t xml:space="preserve">je </w:t>
      </w:r>
      <w:r w:rsidRPr="00662147">
        <w:rPr>
          <w:rFonts w:ascii="Arial" w:hAnsi="Arial" w:cs="Arial"/>
        </w:rPr>
        <w:t>umístěno ve dvoře bývalé fary, kde je omezená kapa</w:t>
      </w:r>
      <w:r w:rsidR="00662147" w:rsidRPr="00662147">
        <w:rPr>
          <w:rFonts w:ascii="Arial" w:hAnsi="Arial" w:cs="Arial"/>
        </w:rPr>
        <w:t>city počtu kontejnerů na odpad. (</w:t>
      </w:r>
      <w:r w:rsidRPr="00662147">
        <w:rPr>
          <w:rFonts w:ascii="Arial" w:hAnsi="Arial" w:cs="Arial"/>
        </w:rPr>
        <w:t>V areálu dvora fary je rovněž zázemí pro obecní stroje, automobily, traktor apod.). Protože vyvážení kontejnerů je závislé na jejich naplnění a na volných kapacitách odběratelů</w:t>
      </w:r>
      <w:r w:rsidR="00662147" w:rsidRPr="00662147">
        <w:rPr>
          <w:rFonts w:ascii="Arial" w:hAnsi="Arial" w:cs="Arial"/>
        </w:rPr>
        <w:t>, není možné otevírat sběrné místo častěji. Nezajistili bychom prázdné kontejnery, a tedy možnost kam odpad umístit. Navíc by vzrost</w:t>
      </w:r>
      <w:r w:rsidR="00F333BE">
        <w:rPr>
          <w:rFonts w:ascii="Arial" w:hAnsi="Arial" w:cs="Arial"/>
        </w:rPr>
        <w:t>l</w:t>
      </w:r>
      <w:r w:rsidR="00662147" w:rsidRPr="00662147">
        <w:rPr>
          <w:rFonts w:ascii="Arial" w:hAnsi="Arial" w:cs="Arial"/>
        </w:rPr>
        <w:t xml:space="preserve"> objem a tedy i náklady na likvidaci odpadu, které by se promítly do poplatků za odpad. </w:t>
      </w:r>
      <w:r w:rsidR="00662147" w:rsidRPr="00F333BE">
        <w:rPr>
          <w:rFonts w:ascii="Arial" w:hAnsi="Arial" w:cs="Arial"/>
          <w:b/>
        </w:rPr>
        <w:t xml:space="preserve">Občané mají možnost při větším množství odpadu využít zpoplatněné sběrné dvory v okolí. </w:t>
      </w:r>
    </w:p>
    <w:p w:rsidR="00D34EAF" w:rsidRPr="00662147" w:rsidRDefault="00D34EAF" w:rsidP="00662147">
      <w:pPr>
        <w:jc w:val="both"/>
        <w:rPr>
          <w:rFonts w:ascii="Arial" w:hAnsi="Arial" w:cs="Arial"/>
        </w:rPr>
      </w:pPr>
      <w:r w:rsidRPr="00662147">
        <w:rPr>
          <w:rFonts w:ascii="Arial" w:hAnsi="Arial" w:cs="Arial"/>
        </w:rPr>
        <w:t>Z důvodů bezpečnosti práce a ochrany zdraví je vjezd do dvora sběrného místa omezen na dvě vozidla současně. Až po výjezdu jednoho může vjet další. Řadit se vozidla mohou v ulici kolem školy</w:t>
      </w:r>
      <w:r w:rsidR="00662147">
        <w:rPr>
          <w:rFonts w:ascii="Arial" w:hAnsi="Arial" w:cs="Arial"/>
        </w:rPr>
        <w:t xml:space="preserve"> </w:t>
      </w:r>
      <w:r w:rsidRPr="00662147">
        <w:rPr>
          <w:rFonts w:ascii="Arial" w:hAnsi="Arial" w:cs="Arial"/>
        </w:rPr>
        <w:t>a pod školou</w:t>
      </w:r>
      <w:r w:rsidR="00662147" w:rsidRPr="00662147">
        <w:rPr>
          <w:rFonts w:ascii="Arial" w:hAnsi="Arial" w:cs="Arial"/>
        </w:rPr>
        <w:t>.</w:t>
      </w:r>
    </w:p>
    <w:p w:rsidR="00872DED" w:rsidRPr="00662147" w:rsidRDefault="00662147" w:rsidP="00F333BE">
      <w:pPr>
        <w:jc w:val="both"/>
        <w:rPr>
          <w:rFonts w:ascii="Arial" w:hAnsi="Arial" w:cs="Arial"/>
        </w:rPr>
      </w:pPr>
      <w:r w:rsidRPr="00662147">
        <w:rPr>
          <w:rFonts w:ascii="Arial" w:eastAsia="Times New Roman" w:hAnsi="Arial" w:cs="Arial"/>
          <w:color w:val="202020"/>
          <w:bdr w:val="none" w:sz="0" w:space="0" w:color="auto" w:frame="1"/>
          <w:lang w:eastAsia="cs-CZ"/>
        </w:rPr>
        <w:t>V lednu 2021 vstoupila v platnost nová odpadová legislativa v podobě nových zákonů a prováděcích vyhlášek.</w:t>
      </w:r>
      <w:r>
        <w:rPr>
          <w:rFonts w:ascii="Arial" w:eastAsia="Times New Roman" w:hAnsi="Arial" w:cs="Arial"/>
          <w:color w:val="202020"/>
          <w:bdr w:val="none" w:sz="0" w:space="0" w:color="auto" w:frame="1"/>
          <w:lang w:eastAsia="cs-CZ"/>
        </w:rPr>
        <w:t xml:space="preserve"> Obec bude </w:t>
      </w:r>
      <w:r w:rsidR="00F333BE">
        <w:rPr>
          <w:rFonts w:ascii="Arial" w:eastAsia="Times New Roman" w:hAnsi="Arial" w:cs="Arial"/>
          <w:color w:val="202020"/>
          <w:bdr w:val="none" w:sz="0" w:space="0" w:color="auto" w:frame="1"/>
          <w:lang w:eastAsia="cs-CZ"/>
        </w:rPr>
        <w:t xml:space="preserve">tedy </w:t>
      </w:r>
      <w:r>
        <w:rPr>
          <w:rFonts w:ascii="Arial" w:eastAsia="Times New Roman" w:hAnsi="Arial" w:cs="Arial"/>
          <w:color w:val="202020"/>
          <w:bdr w:val="none" w:sz="0" w:space="0" w:color="auto" w:frame="1"/>
          <w:lang w:eastAsia="cs-CZ"/>
        </w:rPr>
        <w:t>nově řešit</w:t>
      </w:r>
      <w:r w:rsidR="00F333BE">
        <w:rPr>
          <w:rFonts w:ascii="Arial" w:eastAsia="Times New Roman" w:hAnsi="Arial" w:cs="Arial"/>
          <w:color w:val="202020"/>
          <w:bdr w:val="none" w:sz="0" w:space="0" w:color="auto" w:frame="1"/>
          <w:lang w:eastAsia="cs-CZ"/>
        </w:rPr>
        <w:t xml:space="preserve"> systém odpadového hospodářství. </w:t>
      </w:r>
      <w:bookmarkStart w:id="0" w:name="_GoBack"/>
      <w:bookmarkEnd w:id="0"/>
    </w:p>
    <w:p w:rsidR="00D34EAF" w:rsidRPr="00662147" w:rsidRDefault="00D34EAF" w:rsidP="00D34EAF">
      <w:pPr>
        <w:rPr>
          <w:rFonts w:ascii="Arial" w:hAnsi="Arial" w:cs="Arial"/>
        </w:rPr>
      </w:pPr>
    </w:p>
    <w:p w:rsidR="00D34EAF" w:rsidRPr="00662147" w:rsidRDefault="00D34EAF">
      <w:pPr>
        <w:rPr>
          <w:rFonts w:ascii="Arial" w:hAnsi="Arial" w:cs="Arial"/>
        </w:rPr>
      </w:pPr>
    </w:p>
    <w:sectPr w:rsidR="00D34EAF" w:rsidRPr="0066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F"/>
    <w:rsid w:val="00662147"/>
    <w:rsid w:val="00872DED"/>
    <w:rsid w:val="00D34EAF"/>
    <w:rsid w:val="00F3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63769-50AF-4ACB-9D50-6910DFE0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3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4EAF"/>
    <w:rPr>
      <w:color w:val="0000FF"/>
      <w:u w:val="single"/>
    </w:rPr>
  </w:style>
  <w:style w:type="paragraph" w:styleId="Bezmezer">
    <w:name w:val="No Spacing"/>
    <w:uiPriority w:val="1"/>
    <w:qFormat/>
    <w:rsid w:val="00D34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2021-07-27T11:04:00Z</dcterms:created>
  <dcterms:modified xsi:type="dcterms:W3CDTF">2021-07-27T11:33:00Z</dcterms:modified>
</cp:coreProperties>
</file>